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Authors’ response to the reviewer’s comments:</w:t>
      </w:r>
    </w:p>
    <w:p>
      <w:pPr>
        <w:rPr>
          <w:rFonts w:hint="default"/>
          <w:sz w:val="24"/>
          <w:szCs w:val="24"/>
          <w:lang w:val="en-US"/>
        </w:rPr>
      </w:pP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79"/>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79" w:type="dxa"/>
          </w:tcPr>
          <w:p>
            <w:pPr>
              <w:rPr>
                <w:rFonts w:hint="default"/>
                <w:sz w:val="24"/>
                <w:szCs w:val="24"/>
                <w:vertAlign w:val="baseline"/>
                <w:lang w:val="en-US"/>
              </w:rPr>
            </w:pPr>
            <w:r>
              <w:rPr>
                <w:rFonts w:hint="default"/>
                <w:sz w:val="24"/>
                <w:szCs w:val="24"/>
                <w:lang w:val="en-US"/>
              </w:rPr>
              <w:t>Reviewer’s comments</w:t>
            </w:r>
          </w:p>
        </w:tc>
        <w:tc>
          <w:tcPr>
            <w:tcW w:w="5543" w:type="dxa"/>
          </w:tcPr>
          <w:p>
            <w:pPr>
              <w:rPr>
                <w:rFonts w:hint="default"/>
                <w:sz w:val="24"/>
                <w:szCs w:val="24"/>
                <w:vertAlign w:val="baseline"/>
                <w:lang w:val="en-US"/>
              </w:rPr>
            </w:pPr>
            <w:r>
              <w:rPr>
                <w:rFonts w:hint="default"/>
                <w:sz w:val="24"/>
                <w:szCs w:val="24"/>
                <w:lang w:val="en-US"/>
              </w:rPr>
              <w:t>Authors’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79" w:type="dxa"/>
          </w:tcPr>
          <w:p>
            <w:pPr>
              <w:numPr>
                <w:numId w:val="0"/>
              </w:numPr>
              <w:rPr>
                <w:rFonts w:hint="default"/>
                <w:sz w:val="24"/>
                <w:szCs w:val="24"/>
                <w:lang w:val="en-US"/>
              </w:rPr>
            </w:pPr>
            <w:r>
              <w:rPr>
                <w:rFonts w:hint="default"/>
                <w:sz w:val="24"/>
                <w:szCs w:val="24"/>
                <w:lang w:val="en-US"/>
              </w:rPr>
              <w:t xml:space="preserve">Abstract. The first sentence needs to make it concise. </w:t>
            </w:r>
          </w:p>
          <w:p>
            <w:pPr>
              <w:rPr>
                <w:rFonts w:hint="default"/>
                <w:sz w:val="24"/>
                <w:szCs w:val="24"/>
                <w:vertAlign w:val="baseline"/>
                <w:lang w:val="en-US"/>
              </w:rPr>
            </w:pPr>
          </w:p>
        </w:tc>
        <w:tc>
          <w:tcPr>
            <w:tcW w:w="5543" w:type="dxa"/>
          </w:tcPr>
          <w:p>
            <w:pPr>
              <w:rPr>
                <w:rFonts w:hint="default"/>
                <w:sz w:val="24"/>
                <w:szCs w:val="24"/>
                <w:vertAlign w:val="baseline"/>
                <w:lang w:val="en-US"/>
              </w:rPr>
            </w:pPr>
            <w:r>
              <w:rPr>
                <w:rFonts w:hint="default"/>
                <w:sz w:val="24"/>
                <w:szCs w:val="24"/>
                <w:vertAlign w:val="baseline"/>
                <w:lang w:val="en-US"/>
              </w:rPr>
              <w:t>Done.</w:t>
            </w:r>
          </w:p>
          <w:p>
            <w:pPr>
              <w:rPr>
                <w:rFonts w:hint="default"/>
                <w:sz w:val="24"/>
                <w:szCs w:val="24"/>
                <w:vertAlign w:val="baseline"/>
                <w:lang w:val="en-US"/>
              </w:rPr>
            </w:pPr>
            <w:r>
              <w:rPr>
                <w:rFonts w:hint="default"/>
                <w:sz w:val="24"/>
                <w:szCs w:val="24"/>
                <w:vertAlign w:val="baseline"/>
                <w:lang w:val="en-US"/>
              </w:rPr>
              <w:t>(“</w:t>
            </w:r>
            <w:r>
              <w:rPr>
                <w:rFonts w:hint="default"/>
                <w:sz w:val="24"/>
                <w:szCs w:val="24"/>
                <w:lang w:val="en-US"/>
              </w:rPr>
              <w:t>This research aims at investigating the knowledge of ICT integration among the students of English Language Education Study Program at a particular university in Yogyakarta.”)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79" w:type="dxa"/>
          </w:tcPr>
          <w:p>
            <w:pPr>
              <w:pStyle w:val="4"/>
              <w:rPr>
                <w:sz w:val="24"/>
                <w:szCs w:val="24"/>
              </w:rPr>
            </w:pPr>
            <w:r>
              <w:rPr>
                <w:rFonts w:hint="default"/>
                <w:sz w:val="24"/>
                <w:szCs w:val="24"/>
                <w:lang w:val="en-US"/>
              </w:rPr>
              <w:t xml:space="preserve">Some in-text citations have </w:t>
            </w:r>
            <w:r>
              <w:rPr>
                <w:sz w:val="24"/>
                <w:szCs w:val="24"/>
              </w:rPr>
              <w:t>not been added to the references list</w:t>
            </w:r>
          </w:p>
          <w:p>
            <w:pPr>
              <w:rPr>
                <w:rFonts w:hint="default"/>
                <w:sz w:val="24"/>
                <w:szCs w:val="24"/>
                <w:vertAlign w:val="baseline"/>
                <w:lang w:val="en-US"/>
              </w:rPr>
            </w:pPr>
          </w:p>
        </w:tc>
        <w:tc>
          <w:tcPr>
            <w:tcW w:w="5543" w:type="dxa"/>
          </w:tcPr>
          <w:p>
            <w:pPr>
              <w:rPr>
                <w:rFonts w:hint="default"/>
                <w:sz w:val="24"/>
                <w:szCs w:val="24"/>
                <w:vertAlign w:val="baseline"/>
                <w:lang w:val="en-US"/>
              </w:rPr>
            </w:pPr>
            <w:r>
              <w:rPr>
                <w:rFonts w:hint="default"/>
                <w:sz w:val="24"/>
                <w:szCs w:val="24"/>
                <w:vertAlign w:val="baseline"/>
                <w:lang w:val="en-US"/>
              </w:rPr>
              <w:t>Done. Missing references have been added.</w:t>
            </w:r>
          </w:p>
          <w:p>
            <w:pPr>
              <w:ind w:left="660" w:leftChars="0" w:hanging="660" w:hangingChars="275"/>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Antonio, A., &amp; Tuffley, D. (2014). The Gender Digital Divide in Developing Countries. </w:t>
            </w:r>
            <w:r>
              <w:rPr>
                <w:rFonts w:hint="default" w:ascii="Times New Roman" w:hAnsi="Times New Roman" w:cs="Times New Roman"/>
                <w:i/>
                <w:iCs/>
                <w:sz w:val="24"/>
                <w:szCs w:val="24"/>
                <w:highlight w:val="none"/>
              </w:rPr>
              <w:t>Future Internet</w:t>
            </w:r>
            <w:r>
              <w:rPr>
                <w:rFonts w:hint="default" w:ascii="Times New Roman" w:hAnsi="Times New Roman" w:cs="Times New Roman"/>
                <w:sz w:val="24"/>
                <w:szCs w:val="24"/>
                <w:highlight w:val="none"/>
              </w:rPr>
              <w:t>, 673–687. https://doi.org/10.3390/fi6040673</w:t>
            </w:r>
          </w:p>
          <w:p>
            <w:pPr>
              <w:ind w:left="660" w:leftChars="0" w:hanging="660" w:hangingChars="275"/>
              <w:rPr>
                <w:rFonts w:hint="default" w:ascii="Times New Roman" w:hAnsi="Times New Roman" w:eastAsia="SimSun" w:cs="Times New Roman"/>
                <w:color w:val="000000"/>
                <w:sz w:val="24"/>
                <w:szCs w:val="24"/>
                <w:highlight w:val="none"/>
                <w:lang w:eastAsia="zh-CN"/>
              </w:rPr>
            </w:pPr>
            <w:r>
              <w:rPr>
                <w:rFonts w:hint="default" w:ascii="Times New Roman" w:hAnsi="Times New Roman" w:cs="Times New Roman"/>
                <w:sz w:val="24"/>
                <w:szCs w:val="24"/>
                <w:highlight w:val="none"/>
              </w:rPr>
              <w:t xml:space="preserve">Ciptaningrum, D.S. (2018). The story of “Julie”: A life history study of the learning experiences of an Indonesian English language teacher in implementing ICT in her classroom. In S. Madya, F. Hamied, W. Renandya, C. Coombe, Y. Basthomi, Eds. </w:t>
            </w:r>
            <w:r>
              <w:rPr>
                <w:rFonts w:hint="default" w:ascii="Times New Roman" w:hAnsi="Times New Roman" w:eastAsia="SimSun" w:cs="Times New Roman"/>
                <w:color w:val="000000"/>
                <w:sz w:val="24"/>
                <w:szCs w:val="24"/>
                <w:highlight w:val="none"/>
                <w:lang w:eastAsia="zh-CN"/>
              </w:rPr>
              <w:t>ELT in Asia in the digital era: Global citizenship and identity. Routledge.</w:t>
            </w:r>
            <w:r>
              <w:rPr>
                <w:rFonts w:hint="default" w:ascii="Times New Roman" w:hAnsi="Times New Roman" w:eastAsia="SimSun" w:cs="Times New Roman"/>
                <w:i/>
                <w:color w:val="000000"/>
                <w:sz w:val="24"/>
                <w:szCs w:val="24"/>
                <w:highlight w:val="none"/>
                <w:lang w:eastAsia="zh-CN"/>
              </w:rPr>
              <w:t>The 15</w:t>
            </w:r>
            <w:r>
              <w:rPr>
                <w:rFonts w:hint="default" w:ascii="Times New Roman" w:hAnsi="Times New Roman" w:eastAsia="SimSun" w:cs="Times New Roman"/>
                <w:i/>
                <w:color w:val="000000"/>
                <w:sz w:val="24"/>
                <w:szCs w:val="24"/>
                <w:highlight w:val="none"/>
                <w:vertAlign w:val="superscript"/>
                <w:lang w:eastAsia="zh-CN"/>
              </w:rPr>
              <w:t>th</w:t>
            </w:r>
            <w:r>
              <w:rPr>
                <w:rFonts w:hint="default" w:ascii="Times New Roman" w:hAnsi="Times New Roman" w:eastAsia="SimSun" w:cs="Times New Roman"/>
                <w:i/>
                <w:color w:val="000000"/>
                <w:sz w:val="24"/>
                <w:szCs w:val="24"/>
                <w:highlight w:val="none"/>
                <w:lang w:eastAsia="zh-CN"/>
              </w:rPr>
              <w:t>ASIA TEFL and 64</w:t>
            </w:r>
            <w:r>
              <w:rPr>
                <w:rFonts w:hint="default" w:ascii="Times New Roman" w:hAnsi="Times New Roman" w:eastAsia="SimSun" w:cs="Times New Roman"/>
                <w:i/>
                <w:color w:val="000000"/>
                <w:sz w:val="24"/>
                <w:szCs w:val="24"/>
                <w:highlight w:val="none"/>
                <w:vertAlign w:val="superscript"/>
                <w:lang w:eastAsia="zh-CN"/>
              </w:rPr>
              <w:t>th</w:t>
            </w:r>
            <w:r>
              <w:rPr>
                <w:rFonts w:hint="default" w:ascii="Times New Roman" w:hAnsi="Times New Roman" w:eastAsia="SimSun" w:cs="Times New Roman"/>
                <w:i/>
                <w:color w:val="000000"/>
                <w:sz w:val="24"/>
                <w:szCs w:val="24"/>
                <w:highlight w:val="none"/>
                <w:lang w:eastAsia="zh-CN"/>
              </w:rPr>
              <w:t>TEFLIN international conference on English language teaching (</w:t>
            </w:r>
            <w:r>
              <w:rPr>
                <w:rFonts w:hint="default" w:ascii="Times New Roman" w:hAnsi="Times New Roman" w:eastAsia="SimSun" w:cs="Times New Roman"/>
                <w:color w:val="000000"/>
                <w:sz w:val="24"/>
                <w:szCs w:val="24"/>
                <w:highlight w:val="none"/>
                <w:lang w:eastAsia="zh-CN"/>
              </w:rPr>
              <w:t>Yogyakarta, Indonesia, 13-15 July 2017), pp. 495-503.</w:t>
            </w:r>
          </w:p>
          <w:p>
            <w:pPr>
              <w:ind w:left="720" w:hanging="720"/>
              <w:jc w:val="both"/>
              <w:rPr>
                <w:rFonts w:hint="default" w:ascii="Times New Roman" w:hAnsi="Times New Roman" w:eastAsia="SimSun" w:cs="Times New Roman"/>
                <w:sz w:val="24"/>
                <w:szCs w:val="24"/>
                <w:highlight w:val="none"/>
                <w:lang w:val="en-US"/>
              </w:rPr>
            </w:pPr>
            <w:r>
              <w:rPr>
                <w:rFonts w:hint="default" w:ascii="Times New Roman" w:hAnsi="Times New Roman" w:cs="Times New Roman"/>
                <w:sz w:val="24"/>
                <w:szCs w:val="24"/>
                <w:highlight w:val="none"/>
                <w:lang w:val="en-US"/>
              </w:rPr>
              <w:t xml:space="preserve">Ciptaningrum, D. S. (2017). </w:t>
            </w:r>
            <w:r>
              <w:rPr>
                <w:rFonts w:hint="default" w:ascii="Times New Roman" w:hAnsi="Times New Roman" w:eastAsia="Yu Gothic" w:cs="Times New Roman"/>
                <w:b w:val="0"/>
                <w:bCs w:val="0"/>
                <w:sz w:val="24"/>
                <w:szCs w:val="24"/>
                <w:highlight w:val="none"/>
              </w:rPr>
              <w:t>The Development of the Survey of Technology Use, Teaching, and Technology-Related Learning Experiences among Pre-Service English Language Teachers in Indonesia</w:t>
            </w:r>
            <w:r>
              <w:rPr>
                <w:rFonts w:hint="default" w:ascii="Times New Roman" w:hAnsi="Times New Roman" w:eastAsia="Yu Gothic" w:cs="Times New Roman"/>
                <w:b w:val="0"/>
                <w:bCs w:val="0"/>
                <w:sz w:val="24"/>
                <w:szCs w:val="24"/>
                <w:highlight w:val="none"/>
                <w:lang w:val="en-US"/>
              </w:rPr>
              <w:t xml:space="preserve">. </w:t>
            </w:r>
            <w:r>
              <w:rPr>
                <w:rFonts w:hint="default" w:ascii="Times New Roman" w:hAnsi="Times New Roman" w:eastAsia="Yu Gothic" w:cs="Times New Roman"/>
                <w:b w:val="0"/>
                <w:bCs w:val="0"/>
                <w:i/>
                <w:iCs/>
                <w:sz w:val="24"/>
                <w:szCs w:val="24"/>
                <w:highlight w:val="none"/>
                <w:lang w:val="en-US"/>
              </w:rPr>
              <w:t>J</w:t>
            </w:r>
            <w:r>
              <w:rPr>
                <w:rFonts w:hint="default" w:ascii="Times New Roman" w:hAnsi="Times New Roman" w:eastAsia="SimSun" w:cs="Times New Roman"/>
                <w:i/>
                <w:iCs/>
                <w:sz w:val="24"/>
                <w:szCs w:val="24"/>
                <w:highlight w:val="none"/>
              </w:rPr>
              <w:t xml:space="preserve">ournal of </w:t>
            </w:r>
            <w:r>
              <w:rPr>
                <w:rFonts w:hint="default" w:ascii="Times New Roman" w:hAnsi="Times New Roman" w:eastAsia="SimSun" w:cs="Times New Roman"/>
                <w:i/>
                <w:iCs/>
                <w:sz w:val="24"/>
                <w:szCs w:val="24"/>
                <w:highlight w:val="none"/>
                <w:lang w:val="en-US"/>
              </w:rPr>
              <w:t>F</w:t>
            </w:r>
            <w:r>
              <w:rPr>
                <w:rFonts w:hint="default" w:ascii="Times New Roman" w:hAnsi="Times New Roman" w:eastAsia="SimSun" w:cs="Times New Roman"/>
                <w:i/>
                <w:iCs/>
                <w:sz w:val="24"/>
                <w:szCs w:val="24"/>
                <w:highlight w:val="none"/>
              </w:rPr>
              <w:t xml:space="preserve">oreign </w:t>
            </w:r>
            <w:r>
              <w:rPr>
                <w:rFonts w:hint="default" w:ascii="Times New Roman" w:hAnsi="Times New Roman" w:eastAsia="SimSun" w:cs="Times New Roman"/>
                <w:i/>
                <w:iCs/>
                <w:sz w:val="24"/>
                <w:szCs w:val="24"/>
                <w:highlight w:val="none"/>
                <w:lang w:val="en-US"/>
              </w:rPr>
              <w:t>L</w:t>
            </w:r>
            <w:r>
              <w:rPr>
                <w:rFonts w:hint="default" w:ascii="Times New Roman" w:hAnsi="Times New Roman" w:eastAsia="SimSun" w:cs="Times New Roman"/>
                <w:i/>
                <w:iCs/>
                <w:sz w:val="24"/>
                <w:szCs w:val="24"/>
                <w:highlight w:val="none"/>
              </w:rPr>
              <w:t xml:space="preserve">anguage </w:t>
            </w:r>
            <w:r>
              <w:rPr>
                <w:rFonts w:hint="default" w:ascii="Times New Roman" w:hAnsi="Times New Roman" w:eastAsia="SimSun" w:cs="Times New Roman"/>
                <w:i/>
                <w:iCs/>
                <w:sz w:val="24"/>
                <w:szCs w:val="24"/>
                <w:highlight w:val="none"/>
                <w:lang w:val="en-US"/>
              </w:rPr>
              <w:t>T</w:t>
            </w:r>
            <w:r>
              <w:rPr>
                <w:rFonts w:hint="default" w:ascii="Times New Roman" w:hAnsi="Times New Roman" w:eastAsia="SimSun" w:cs="Times New Roman"/>
                <w:i/>
                <w:iCs/>
                <w:sz w:val="24"/>
                <w:szCs w:val="24"/>
                <w:highlight w:val="none"/>
              </w:rPr>
              <w:t xml:space="preserve">eaching and </w:t>
            </w:r>
            <w:r>
              <w:rPr>
                <w:rFonts w:hint="default" w:ascii="Times New Roman" w:hAnsi="Times New Roman" w:eastAsia="SimSun" w:cs="Times New Roman"/>
                <w:i/>
                <w:iCs/>
                <w:sz w:val="24"/>
                <w:szCs w:val="24"/>
                <w:highlight w:val="none"/>
                <w:lang w:val="en-US"/>
              </w:rPr>
              <w:t>L</w:t>
            </w:r>
            <w:r>
              <w:rPr>
                <w:rFonts w:hint="default" w:ascii="Times New Roman" w:hAnsi="Times New Roman" w:eastAsia="SimSun" w:cs="Times New Roman"/>
                <w:i/>
                <w:iCs/>
                <w:sz w:val="24"/>
                <w:szCs w:val="24"/>
                <w:highlight w:val="none"/>
              </w:rPr>
              <w:t>earning</w:t>
            </w:r>
            <w:r>
              <w:rPr>
                <w:rFonts w:hint="default" w:ascii="Times New Roman" w:hAnsi="Times New Roman" w:eastAsia="SimSun" w:cs="Times New Roman"/>
                <w:i/>
                <w:iCs/>
                <w:sz w:val="24"/>
                <w:szCs w:val="24"/>
                <w:highlight w:val="none"/>
                <w:lang w:val="en-US"/>
              </w:rPr>
              <w:t>, 2</w:t>
            </w:r>
            <w:r>
              <w:rPr>
                <w:rFonts w:hint="default" w:ascii="Times New Roman" w:hAnsi="Times New Roman" w:eastAsia="SimSun" w:cs="Times New Roman"/>
                <w:sz w:val="24"/>
                <w:szCs w:val="24"/>
                <w:highlight w:val="none"/>
                <w:lang w:val="en-US"/>
              </w:rPr>
              <w:t>(2), 11-26.</w:t>
            </w:r>
          </w:p>
          <w:p>
            <w:pPr>
              <w:pStyle w:val="5"/>
              <w:keepNext w:val="0"/>
              <w:keepLines w:val="0"/>
              <w:widowControl/>
              <w:suppressLineNumbers w:val="0"/>
              <w:ind w:left="567" w:hanging="56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Rosetta Stone. (2013). World Language Teachers and their Use of Technology. https://resources.rosettastone.com/assets/lp/9999999999/resources/speaking-the-language-of-the-21st-century.pdf. </w:t>
            </w:r>
          </w:p>
          <w:p>
            <w:pPr>
              <w:ind w:left="660" w:leftChars="0" w:hanging="660" w:hangingChars="275"/>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Shulman, L. S. (1987). Knowledge and teaching: foundation of the new reform. </w:t>
            </w:r>
            <w:r>
              <w:rPr>
                <w:rFonts w:hint="default" w:ascii="Times New Roman" w:hAnsi="Times New Roman" w:cs="Times New Roman"/>
                <w:i/>
                <w:sz w:val="24"/>
                <w:szCs w:val="24"/>
                <w:highlight w:val="none"/>
              </w:rPr>
              <w:t>Harvard Educational Review, 57</w:t>
            </w:r>
            <w:r>
              <w:rPr>
                <w:rFonts w:hint="default" w:ascii="Times New Roman" w:hAnsi="Times New Roman" w:cs="Times New Roman"/>
                <w:sz w:val="24"/>
                <w:szCs w:val="24"/>
                <w:highlight w:val="none"/>
              </w:rPr>
              <w:t>(1), 1-21.</w:t>
            </w:r>
          </w:p>
          <w:p>
            <w:pPr>
              <w:rPr>
                <w:rFonts w:hint="default"/>
                <w:sz w:val="24"/>
                <w:szCs w:val="24"/>
                <w:vertAlign w:val="baseline"/>
                <w:lang w:val="en-US"/>
              </w:rPr>
            </w:pPr>
            <w:r>
              <w:rPr>
                <w:rFonts w:hint="default" w:ascii="Times New Roman" w:hAnsi="Times New Roman" w:cs="Times New Roman"/>
                <w:sz w:val="24"/>
                <w:szCs w:val="24"/>
                <w:highlight w:val="none"/>
              </w:rPr>
              <w:t xml:space="preserve">Warschauer, M. (1997). Computer-mediated collaborative learning: Theory and practice. </w:t>
            </w:r>
            <w:r>
              <w:rPr>
                <w:rFonts w:hint="default" w:ascii="Times New Roman" w:hAnsi="Times New Roman" w:cs="Times New Roman"/>
                <w:i/>
                <w:sz w:val="24"/>
                <w:szCs w:val="24"/>
                <w:highlight w:val="none"/>
              </w:rPr>
              <w:t>Modern Language Journal, 81</w:t>
            </w:r>
            <w:r>
              <w:rPr>
                <w:rFonts w:hint="default" w:ascii="Times New Roman" w:hAnsi="Times New Roman" w:cs="Times New Roman"/>
                <w:sz w:val="24"/>
                <w:szCs w:val="24"/>
                <w:highlight w:val="none"/>
              </w:rPr>
              <w:t>(3), 470-481.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979" w:type="dxa"/>
          </w:tcPr>
          <w:p>
            <w:pPr>
              <w:pStyle w:val="4"/>
              <w:rPr>
                <w:rFonts w:hint="default" w:ascii="Times New Roman" w:hAnsi="Times New Roman" w:eastAsia="HP Simplified Jpan" w:cs="Times New Roman"/>
                <w:sz w:val="24"/>
                <w:szCs w:val="24"/>
              </w:rPr>
            </w:pPr>
            <w:r>
              <w:rPr>
                <w:rFonts w:hint="default" w:ascii="Times New Roman" w:hAnsi="Times New Roman" w:eastAsia="HP Simplified Jpan" w:cs="Times New Roman"/>
                <w:sz w:val="24"/>
                <w:szCs w:val="24"/>
              </w:rPr>
              <w:t>To be eligible for publication in REID journal, the data analysis needs to be upgraded to be more complex than descriptive statistics.</w:t>
            </w:r>
          </w:p>
          <w:p>
            <w:pPr>
              <w:rPr>
                <w:rFonts w:hint="default" w:ascii="Times New Roman" w:hAnsi="Times New Roman" w:eastAsia="HP Simplified Jpan" w:cs="Times New Roman"/>
                <w:sz w:val="24"/>
                <w:szCs w:val="24"/>
                <w:vertAlign w:val="baseline"/>
                <w:lang w:val="en-US"/>
              </w:rPr>
            </w:pPr>
          </w:p>
        </w:tc>
        <w:tc>
          <w:tcPr>
            <w:tcW w:w="5543" w:type="dxa"/>
          </w:tcPr>
          <w:p>
            <w:pPr>
              <w:rPr>
                <w:rFonts w:hint="default" w:ascii="Times New Roman" w:hAnsi="Times New Roman" w:eastAsia="HP Simplified Jpan" w:cs="Times New Roman"/>
                <w:sz w:val="24"/>
                <w:szCs w:val="24"/>
                <w:vertAlign w:val="baseline"/>
                <w:lang w:val="en-US"/>
              </w:rPr>
            </w:pPr>
            <w:r>
              <w:rPr>
                <w:rFonts w:hint="default" w:ascii="Times New Roman" w:hAnsi="Times New Roman" w:cs="Times New Roman"/>
                <w:sz w:val="24"/>
                <w:szCs w:val="24"/>
                <w:lang w:val="en-US"/>
              </w:rPr>
              <w:t xml:space="preserve">Multivariate test, </w:t>
            </w:r>
            <w:r>
              <w:rPr>
                <w:rFonts w:hint="default" w:ascii="Times New Roman" w:hAnsi="Times New Roman" w:cs="Times New Roman"/>
                <w:sz w:val="24"/>
                <w:szCs w:val="24"/>
              </w:rPr>
              <w:t xml:space="preserve">MANOVA </w:t>
            </w:r>
            <w:r>
              <w:rPr>
                <w:rFonts w:hint="default" w:ascii="Times New Roman" w:hAnsi="Times New Roman" w:cs="Times New Roman"/>
                <w:color w:val="363638"/>
                <w:sz w:val="24"/>
                <w:szCs w:val="24"/>
                <w:lang w:val="zh-CN"/>
              </w:rPr>
              <w:t>was conducted</w:t>
            </w:r>
            <w:r>
              <w:rPr>
                <w:rFonts w:hint="default" w:ascii="Times New Roman" w:hAnsi="Times New Roman" w:cs="Times New Roman"/>
                <w:color w:val="363638"/>
                <w:sz w:val="24"/>
                <w:szCs w:val="24"/>
                <w:lang w:val="en-US"/>
              </w:rPr>
              <w:t>.</w:t>
            </w:r>
          </w:p>
        </w:tc>
      </w:tr>
    </w:tbl>
    <w:p>
      <w:pPr>
        <w:rPr>
          <w:rFonts w:hint="default"/>
          <w:lang w:val="en-US"/>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HP Simplified Jpan">
    <w:panose1 w:val="020B0500000000000000"/>
    <w:charset w:val="86"/>
    <w:family w:val="auto"/>
    <w:pitch w:val="default"/>
    <w:sig w:usb0="E00002FF" w:usb1="38C7EDFA" w:usb2="00000012" w:usb3="00000000" w:csb0="2016019F" w:csb1="41000000"/>
  </w:font>
  <w:font w:name="Verdana">
    <w:panose1 w:val="020B0604030504040204"/>
    <w:charset w:val="00"/>
    <w:family w:val="auto"/>
    <w:pitch w:val="default"/>
    <w:sig w:usb0="A00006FF" w:usb1="4000205B" w:usb2="00000010" w:usb3="00000000" w:csb0="2000019F" w:csb1="00000000"/>
  </w:font>
  <w:font w:name="Malgun Gothic Semilight">
    <w:panose1 w:val="020B0502040204020203"/>
    <w:charset w:val="86"/>
    <w:family w:val="auto"/>
    <w:pitch w:val="default"/>
    <w:sig w:usb0="900002AF" w:usb1="01D77CFB" w:usb2="00000012" w:usb3="00000000" w:csb0="203E01BD" w:csb1="D7FF0000"/>
  </w:font>
  <w:font w:name="HP Simplified Hans">
    <w:panose1 w:val="020B0500000000000000"/>
    <w:charset w:val="86"/>
    <w:family w:val="auto"/>
    <w:pitch w:val="default"/>
    <w:sig w:usb0="A00002BF" w:usb1="38CF7CFA" w:usb2="00000016" w:usb3="00000000" w:csb0="2004011D" w:csb1="41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92EDE"/>
    <w:rsid w:val="4EA9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annotation text"/>
    <w:basedOn w:val="1"/>
    <w:unhideWhenUsed/>
    <w:qFormat/>
    <w:uiPriority w:val="0"/>
    <w:pPr>
      <w:spacing w:line="240" w:lineRule="auto"/>
    </w:pPr>
  </w:style>
  <w:style w:type="paragraph" w:styleId="5">
    <w:name w:val="Normal (Web)"/>
    <w:unhideWhenUsed/>
    <w:qFormat/>
    <w:uiPriority w:val="99"/>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2021-05-23T14:10:00Z</dcterms:created>
  <dc:creator>HP</dc:creator>
  <cp:lastModifiedBy>HP</cp:lastModifiedBy>
  <dcterms:modified xsi:type="dcterms:W3CDTF">2021-05-23T14:25:53Z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